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i w:val="0"/>
          <w:color w:val="C8932A"/>
          <w:sz w:val="18"/>
          <w:spacing w:val="44"/>
        </w:rPr>
        <w:t>SJABLOON · AI EN DATA</w:t>
      </w:r>
    </w:p>
    <w:p>
      <w:pPr>
        <w:spacing w:after="60"/>
        <w:pBdr>
          <w:bottom w:val="single" w:sz="14" w:space="8" w:color="C8932A"/>
        </w:pBdr>
      </w:pPr>
      <w:r>
        <w:rPr>
          <w:rFonts w:ascii="Calibri" w:hAnsi="Calibri"/>
          <w:b/>
          <w:i w:val="0"/>
          <w:color w:val="0F1B33"/>
          <w:sz w:val="48"/>
        </w:rPr>
        <w:t>AI-gebruiksbeleid in één A4</w:t>
      </w:r>
    </w:p>
    <w:p>
      <w:pPr>
        <w:spacing w:before="80" w:after="160"/>
      </w:pPr>
      <w:r>
        <w:rPr>
          <w:rFonts w:ascii="Calibri" w:hAnsi="Calibri"/>
          <w:b w:val="0"/>
          <w:i w:val="0"/>
          <w:color w:val="5B677E"/>
          <w:sz w:val="21"/>
        </w:rPr>
        <w:t>Je beleid voor AI-gebruik op één A4. De basisregels staan klaar; vul de vier velden onderaan in en deel het met je team.</w:t>
      </w:r>
    </w:p>
    <w:tbl>
      <w:tblPr>
        <w:tblW w:type="auto" w:w="0"/>
        <w:jc w:val="left"/>
        <w:tblLayout w:type="autofit"/>
        <w:tblLook w:firstColumn="1" w:firstRow="1" w:lastColumn="0" w:lastRow="0" w:noHBand="0" w:noVBand="1" w:val="04A0"/>
      </w:tblPr>
      <w:tblGrid>
        <w:gridCol w:w="9638"/>
      </w:tblGrid>
      <w:tr>
        <w:tc>
          <w:tcPr>
            <w:tcW w:type="dxa" w:w="9638"/>
            <w:shd w:val="clear" w:fill="FBF7EE"/>
            <w:tcBorders>
              <w:top w:val="single" w:sz="4" w:space="0" w:color="ECE3CF"/>
              <w:left w:val="single" w:sz="24" w:space="0" w:color="C8932A"/>
              <w:bottom w:val="single" w:sz="4" w:space="0" w:color="ECE3CF"/>
              <w:right w:val="single" w:sz="4" w:space="0" w:color="ECE3CF"/>
            </w:tcBorders>
            <w:tcMar>
              <w:top w:w="110" w:type="dxa"/>
              <w:bottom w:w="110" w:type="dxa"/>
              <w:start w:w="150" w:type="dxa"/>
              <w:end w:w="150" w:type="dxa"/>
            </w:tcMar>
          </w:tcPr>
          <w:p>
            <w:pPr>
              <w:spacing w:after="0"/>
            </w:pPr>
            <w:r>
              <w:rPr>
                <w:rFonts w:ascii="Calibri" w:hAnsi="Calibri"/>
                <w:b w:val="0"/>
                <w:i w:val="0"/>
                <w:color w:val="1A2438"/>
                <w:sz w:val="20"/>
              </w:rPr>
              <w:t>Zo gebruik je het. De regels hieronder gelden voor de meeste bedrijven. Pas ze aan waar nodig, vul de velden in, en houd het kort genoeg dat je team het ook leest.</w:t>
            </w:r>
          </w:p>
        </w:tc>
      </w:tr>
    </w:tbl>
    <w:p>
      <w:pPr>
        <w:spacing w:after="40"/>
      </w:pPr>
    </w:p>
    <w:p>
      <w:pPr>
        <w:spacing w:before="240" w:after="80"/>
      </w:pPr>
      <w:r>
        <w:rPr>
          <w:rFonts w:ascii="Calibri" w:hAnsi="Calibri"/>
          <w:b/>
          <w:i w:val="0"/>
          <w:color w:val="0F1B33"/>
          <w:sz w:val="27"/>
        </w:rPr>
        <w:t>Dit mag wel</w:t>
      </w:r>
    </w:p>
    <w:p>
      <w:pPr>
        <w:spacing w:after="60"/>
        <w:ind w:left="283"/>
      </w:pPr>
      <w:r>
        <w:rPr>
          <w:rFonts w:ascii="Calibri" w:hAnsi="Calibri"/>
          <w:b/>
          <w:i w:val="0"/>
          <w:color w:val="C8932A"/>
          <w:sz w:val="21"/>
        </w:rPr>
        <w:t xml:space="preserve">•  </w:t>
      </w:r>
      <w:r>
        <w:rPr>
          <w:rFonts w:ascii="Calibri" w:hAnsi="Calibri"/>
          <w:b w:val="0"/>
          <w:i w:val="0"/>
          <w:color w:val="1A2438"/>
          <w:sz w:val="21"/>
        </w:rPr>
        <w:t>Concepten laten schrijven: mails, teksten, samenvattingen, die je daarna zelf nakijkt.</w:t>
      </w:r>
    </w:p>
    <w:p>
      <w:pPr>
        <w:spacing w:after="60"/>
        <w:ind w:left="283"/>
      </w:pPr>
      <w:r>
        <w:rPr>
          <w:rFonts w:ascii="Calibri" w:hAnsi="Calibri"/>
          <w:b/>
          <w:i w:val="0"/>
          <w:color w:val="C8932A"/>
          <w:sz w:val="21"/>
        </w:rPr>
        <w:t xml:space="preserve">•  </w:t>
      </w:r>
      <w:r>
        <w:rPr>
          <w:rFonts w:ascii="Calibri" w:hAnsi="Calibri"/>
          <w:b w:val="0"/>
          <w:i w:val="0"/>
          <w:color w:val="1A2438"/>
          <w:sz w:val="21"/>
        </w:rPr>
        <w:t>Brainstormen, structureren en lange stukken laten samenvatten.</w:t>
      </w:r>
    </w:p>
    <w:p>
      <w:pPr>
        <w:spacing w:after="60"/>
        <w:ind w:left="283"/>
      </w:pPr>
      <w:r>
        <w:rPr>
          <w:rFonts w:ascii="Calibri" w:hAnsi="Calibri"/>
          <w:b/>
          <w:i w:val="0"/>
          <w:color w:val="C8932A"/>
          <w:sz w:val="21"/>
        </w:rPr>
        <w:t xml:space="preserve">•  </w:t>
      </w:r>
      <w:r>
        <w:rPr>
          <w:rFonts w:ascii="Calibri" w:hAnsi="Calibri"/>
          <w:b w:val="0"/>
          <w:i w:val="0"/>
          <w:color w:val="1A2438"/>
          <w:sz w:val="21"/>
        </w:rPr>
        <w:t>Openbare informatie opzoeken, ordenen en vergelijken.</w:t>
      </w:r>
    </w:p>
    <w:p>
      <w:pPr>
        <w:spacing w:after="60"/>
        <w:ind w:left="283"/>
      </w:pPr>
      <w:r>
        <w:rPr>
          <w:rFonts w:ascii="Calibri" w:hAnsi="Calibri"/>
          <w:b/>
          <w:i w:val="0"/>
          <w:color w:val="C8932A"/>
          <w:sz w:val="21"/>
        </w:rPr>
        <w:t xml:space="preserve">•  </w:t>
      </w:r>
      <w:r>
        <w:rPr>
          <w:rFonts w:ascii="Calibri" w:hAnsi="Calibri"/>
          <w:b w:val="0"/>
          <w:i w:val="0"/>
          <w:color w:val="1A2438"/>
          <w:sz w:val="21"/>
        </w:rPr>
        <w:t>Iets laten uitleggen: een formule, een regeling, een stuk code.</w:t>
      </w:r>
    </w:p>
    <w:p>
      <w:pPr>
        <w:spacing w:before="240" w:after="80"/>
      </w:pPr>
      <w:r>
        <w:rPr>
          <w:rFonts w:ascii="Calibri" w:hAnsi="Calibri"/>
          <w:b/>
          <w:i w:val="0"/>
          <w:color w:val="0F1B33"/>
          <w:sz w:val="27"/>
        </w:rPr>
        <w:t>Dit mag niet</w:t>
      </w:r>
    </w:p>
    <w:p>
      <w:pPr>
        <w:spacing w:after="60"/>
        <w:ind w:left="283"/>
      </w:pPr>
      <w:r>
        <w:rPr>
          <w:rFonts w:ascii="Calibri" w:hAnsi="Calibri"/>
          <w:b/>
          <w:i w:val="0"/>
          <w:color w:val="C8932A"/>
          <w:sz w:val="21"/>
        </w:rPr>
        <w:t xml:space="preserve">•  </w:t>
      </w:r>
      <w:r>
        <w:rPr>
          <w:rFonts w:ascii="Calibri" w:hAnsi="Calibri"/>
          <w:b w:val="0"/>
          <w:i w:val="0"/>
          <w:color w:val="1A2438"/>
          <w:sz w:val="21"/>
        </w:rPr>
        <w:t>Klant- of persoonsgegevens invoeren: namen, adressen, dossiers, e-mails.</w:t>
      </w:r>
    </w:p>
    <w:p>
      <w:pPr>
        <w:spacing w:after="60"/>
        <w:ind w:left="283"/>
      </w:pPr>
      <w:r>
        <w:rPr>
          <w:rFonts w:ascii="Calibri" w:hAnsi="Calibri"/>
          <w:b/>
          <w:i w:val="0"/>
          <w:color w:val="C8932A"/>
          <w:sz w:val="21"/>
        </w:rPr>
        <w:t xml:space="preserve">•  </w:t>
      </w:r>
      <w:r>
        <w:rPr>
          <w:rFonts w:ascii="Calibri" w:hAnsi="Calibri"/>
          <w:b w:val="0"/>
          <w:i w:val="0"/>
          <w:color w:val="1A2438"/>
          <w:sz w:val="21"/>
        </w:rPr>
        <w:t>Bedrijfsgeheimen, contracten of financiële details delen.</w:t>
      </w:r>
    </w:p>
    <w:p>
      <w:pPr>
        <w:spacing w:after="60"/>
        <w:ind w:left="283"/>
      </w:pPr>
      <w:r>
        <w:rPr>
          <w:rFonts w:ascii="Calibri" w:hAnsi="Calibri"/>
          <w:b/>
          <w:i w:val="0"/>
          <w:color w:val="C8932A"/>
          <w:sz w:val="21"/>
        </w:rPr>
        <w:t xml:space="preserve">•  </w:t>
      </w:r>
      <w:r>
        <w:rPr>
          <w:rFonts w:ascii="Calibri" w:hAnsi="Calibri"/>
          <w:b w:val="0"/>
          <w:i w:val="0"/>
          <w:color w:val="1A2438"/>
          <w:sz w:val="21"/>
        </w:rPr>
        <w:t>Een eindbesluit laten nemen over mensen, geld of risico.</w:t>
      </w:r>
    </w:p>
    <w:p>
      <w:pPr>
        <w:spacing w:after="60"/>
        <w:ind w:left="283"/>
      </w:pPr>
      <w:r>
        <w:rPr>
          <w:rFonts w:ascii="Calibri" w:hAnsi="Calibri"/>
          <w:b/>
          <w:i w:val="0"/>
          <w:color w:val="C8932A"/>
          <w:sz w:val="21"/>
        </w:rPr>
        <w:t xml:space="preserve">•  </w:t>
      </w:r>
      <w:r>
        <w:rPr>
          <w:rFonts w:ascii="Calibri" w:hAnsi="Calibri"/>
          <w:b w:val="0"/>
          <w:i w:val="0"/>
          <w:color w:val="1A2438"/>
          <w:sz w:val="21"/>
        </w:rPr>
        <w:t>Antwoorden overnemen zonder ze zelf te controleren.</w:t>
      </w:r>
    </w:p>
    <w:p>
      <w:pPr>
        <w:spacing w:before="240" w:after="80"/>
      </w:pPr>
      <w:r>
        <w:rPr>
          <w:rFonts w:ascii="Calibri" w:hAnsi="Calibri"/>
          <w:b/>
          <w:i w:val="0"/>
          <w:color w:val="0F1B33"/>
          <w:sz w:val="27"/>
        </w:rPr>
        <w:t>AVG, kort</w:t>
      </w:r>
    </w:p>
    <w:p>
      <w:pPr>
        <w:spacing w:after="100"/>
      </w:pPr>
      <w:r>
        <w:rPr>
          <w:rFonts w:ascii="Calibri" w:hAnsi="Calibri"/>
          <w:b w:val="0"/>
          <w:i w:val="0"/>
          <w:color w:val="1A2438"/>
          <w:sz w:val="21"/>
        </w:rPr>
        <w:t>Weet altijd waar de gegevens van een tool naartoe gaan. Gebruik voor gevoelige of persoonsgegevens alleen tools met een verwerkersovereenkomst. Bij twijfel: geen persoonsgegevens, punt.</w:t>
      </w:r>
    </w:p>
    <w:p>
      <w:r>
        <w:br w:type="page"/>
      </w:r>
    </w:p>
    <w:p>
      <w:pPr>
        <w:spacing w:before="240" w:after="80"/>
      </w:pPr>
      <w:r>
        <w:rPr>
          <w:rFonts w:ascii="Calibri" w:hAnsi="Calibri"/>
          <w:b/>
          <w:i w:val="0"/>
          <w:color w:val="0F1B33"/>
          <w:sz w:val="27"/>
        </w:rPr>
        <w:t>Vul in voor jullie</w:t>
      </w:r>
    </w:p>
    <w:p>
      <w:pPr>
        <w:spacing w:before="120" w:after="40"/>
      </w:pPr>
      <w:r>
        <w:rPr>
          <w:rFonts w:ascii="Calibri" w:hAnsi="Calibri"/>
          <w:b/>
          <w:i w:val="0"/>
          <w:color w:val="0F1B33"/>
          <w:sz w:val="17"/>
          <w:spacing w:val="16"/>
        </w:rPr>
        <w:t>GOEDGEKEURDE TOOLS</w:t>
      </w:r>
      <w:r>
        <w:rPr>
          <w:rFonts w:ascii="Calibri" w:hAnsi="Calibri"/>
          <w:b w:val="0"/>
          <w:i/>
          <w:color w:val="8A93A4"/>
          <w:sz w:val="17"/>
        </w:rPr>
        <w:t xml:space="preserve">   Welke AI-tools mag het team gebruiken?</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AANSPREEKPUNT BIJ TWIJFEL</w:t>
      </w:r>
      <w:r>
        <w:rPr>
          <w:rFonts w:ascii="Calibri" w:hAnsi="Calibri"/>
          <w:b w:val="0"/>
          <w:i/>
          <w:color w:val="8A93A4"/>
          <w:sz w:val="17"/>
        </w:rPr>
        <w:t xml:space="preserve">   Wie beslist als iemand twijfelt?</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DIT BELEID GELDT VOOR</w:t>
      </w:r>
      <w:r>
        <w:rPr>
          <w:rFonts w:ascii="Calibri" w:hAnsi="Calibri"/>
          <w:b w:val="0"/>
          <w:i/>
          <w:color w:val="8A93A4"/>
          <w:sz w:val="17"/>
        </w:rPr>
        <w:t xml:space="preserve">   Wie valt eronder?</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INGANGSDATUM</w:t>
      </w:r>
      <w:r>
        <w:rPr>
          <w:rFonts w:ascii="Calibri" w:hAnsi="Calibri"/>
          <w:b w:val="0"/>
          <w:i/>
          <w:color w:val="8A93A4"/>
          <w:sz w:val="17"/>
        </w:rPr>
        <w:t xml:space="preserve">   Vanaf wanneer geldt dit?</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sectPr w:rsidR="00FC693F" w:rsidRPr="0006063C" w:rsidSect="00034616">
      <w:headerReference w:type="default" r:id="rId9"/>
      <w:footerReference w:type="default" r:id="rId10"/>
      <w:pgSz w:w="11906" w:h="16838"/>
      <w:pgMar w:top="1077" w:right="1134" w:bottom="964" w:left="1134" w:header="624"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38" w:val="right"/>
      </w:tabs>
    </w:pPr>
    <w:r>
      <w:rPr>
        <w:rFonts w:ascii="Calibri" w:hAnsi="Calibri"/>
        <w:b w:val="0"/>
        <w:i/>
        <w:color w:val="8A93A4"/>
        <w:sz w:val="16"/>
      </w:rPr>
      <w:t>Eerst werkprocessen helder, daarna praktisch verbeteren.</w:t>
    </w:r>
    <w:r>
      <w:rPr>
        <w:rFonts w:ascii="Calibri" w:hAnsi="Calibri"/>
        <w:b/>
        <w:i w:val="0"/>
        <w:color w:val="C8932A"/>
        <w:sz w:val="17"/>
      </w:rPr>
      <w:tab/>
      <w:t>besluitpartners.nl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638" w:val="right"/>
      </w:tabs>
      <w:pBdr>
        <w:bottom w:val="single" w:sz="6" w:space="6" w:color="E5E8EE"/>
      </w:pBdr>
    </w:pPr>
    <w:r>
      <w:drawing>
        <wp:inline xmlns:a="http://schemas.openxmlformats.org/drawingml/2006/main" xmlns:pic="http://schemas.openxmlformats.org/drawingml/2006/picture">
          <wp:extent cx="223200" cy="223200"/>
          <wp:docPr id="1" name="Picture 1"/>
          <wp:cNvGraphicFramePr>
            <a:graphicFrameLocks noChangeAspect="1"/>
          </wp:cNvGraphicFramePr>
          <a:graphic>
            <a:graphicData uri="http://schemas.openxmlformats.org/drawingml/2006/picture">
              <pic:pic>
                <pic:nvPicPr>
                  <pic:cNvPr id="0" name="shield_800.png"/>
                  <pic:cNvPicPr/>
                </pic:nvPicPr>
                <pic:blipFill>
                  <a:blip r:embed="rId1"/>
                  <a:stretch>
                    <a:fillRect/>
                  </a:stretch>
                </pic:blipFill>
                <pic:spPr>
                  <a:xfrm>
                    <a:off x="0" y="0"/>
                    <a:ext cx="223200" cy="223200"/>
                  </a:xfrm>
                  <a:prstGeom prst="rect"/>
                </pic:spPr>
              </pic:pic>
            </a:graphicData>
          </a:graphic>
        </wp:inline>
      </w:drawing>
    </w:r>
    <w:r>
      <w:rPr>
        <w:rFonts w:ascii="Calibri" w:hAnsi="Calibri"/>
        <w:b w:val="0"/>
        <w:i w:val="0"/>
        <w:color w:val="8A93A4"/>
        <w:sz w:val="16"/>
        <w:spacing w:val="30"/>
      </w:rPr>
      <w:tab/>
      <w:t>SJABLOON · AI EN DATA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83" w:lineRule="auto"/>
    </w:pPr>
    <w:rPr>
      <w:rFonts w:ascii="Calibri" w:hAnsi="Calibri"/>
      <w:color w:val="1A2438"/>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